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5A" w:rsidRDefault="000C3A5A" w:rsidP="000C3A5A">
      <w:pPr>
        <w:autoSpaceDE w:val="0"/>
        <w:autoSpaceDN w:val="0"/>
        <w:adjustRightInd w:val="0"/>
        <w:rPr>
          <w:lang w:bidi="hi-IN"/>
        </w:rPr>
      </w:pPr>
      <w:r>
        <w:rPr>
          <w:lang w:bidi="hi-IN"/>
        </w:rPr>
        <w:tab/>
      </w:r>
    </w:p>
    <w:p w:rsidR="000C3A5A" w:rsidRDefault="000C3A5A" w:rsidP="009C606E">
      <w:pPr>
        <w:ind w:left="567" w:right="146"/>
      </w:pPr>
      <w:r>
        <w:t xml:space="preserve">FOLLOWING CORRECTIONS ARE MADE IN THE GEM BID </w:t>
      </w:r>
      <w:proofErr w:type="gramStart"/>
      <w:r>
        <w:t xml:space="preserve">DOCUMENT </w:t>
      </w:r>
      <w:r w:rsidR="00061ABE">
        <w:t>:</w:t>
      </w:r>
      <w:r>
        <w:t>GEM</w:t>
      </w:r>
      <w:proofErr w:type="gramEnd"/>
      <w:r>
        <w:t>/2025/B/6310768 DT:04-06-2025</w:t>
      </w:r>
    </w:p>
    <w:p w:rsidR="000C3A5A" w:rsidRDefault="000C3A5A"/>
    <w:p w:rsidR="0011715C" w:rsidRDefault="000C3A5A">
      <w:r>
        <w:t>BID END DATE/ TIME</w:t>
      </w:r>
      <w:r>
        <w:tab/>
      </w:r>
      <w:r>
        <w:tab/>
        <w:t>: 26-06-2025 15:00:00</w:t>
      </w:r>
    </w:p>
    <w:p w:rsidR="000C3A5A" w:rsidRDefault="000C3A5A">
      <w:r>
        <w:t>BID OPENING DATE/ TIME</w:t>
      </w:r>
      <w:r>
        <w:tab/>
        <w:t>: 26-06-2025 15:30:00</w:t>
      </w:r>
    </w:p>
    <w:p w:rsidR="000C3A5A" w:rsidRDefault="000C3A5A">
      <w:r>
        <w:t>BID OFFER VALIDITY</w:t>
      </w:r>
      <w:r>
        <w:tab/>
      </w:r>
      <w:r>
        <w:tab/>
        <w:t>: 180 DAYS</w:t>
      </w:r>
    </w:p>
    <w:p w:rsidR="000C3A5A" w:rsidRDefault="000C3A5A">
      <w:r>
        <w:t xml:space="preserve"> (FROM END DATE)</w:t>
      </w:r>
      <w:r>
        <w:tab/>
      </w:r>
    </w:p>
    <w:p w:rsidR="000C3A5A" w:rsidRDefault="000C3A5A"/>
    <w:p w:rsidR="000C3A5A" w:rsidRDefault="000C3A5A">
      <w:r>
        <w:t>RA QUALIFICATION RULE</w:t>
      </w:r>
      <w:r>
        <w:tab/>
        <w:t>: AS PER CLAUSE NO</w:t>
      </w:r>
      <w:proofErr w:type="gramStart"/>
      <w:r>
        <w:t>:</w:t>
      </w:r>
      <w:r w:rsidR="004A28FF">
        <w:t>C</w:t>
      </w:r>
      <w:proofErr w:type="gramEnd"/>
      <w:r w:rsidR="004A28FF">
        <w:t xml:space="preserve"> UNDER SECTION V</w:t>
      </w:r>
    </w:p>
    <w:p w:rsidR="000C3A5A" w:rsidRDefault="00061ABE" w:rsidP="009C606E">
      <w:pPr>
        <w:ind w:left="142"/>
      </w:pPr>
      <w:r>
        <w:t xml:space="preserve">(The reverse auction will be conducted only if more than one </w:t>
      </w:r>
      <w:proofErr w:type="gramStart"/>
      <w:r>
        <w:t>bidders</w:t>
      </w:r>
      <w:proofErr w:type="gramEnd"/>
      <w:r>
        <w:t xml:space="preserve"> quote same tariff in the price bid and becomes L1 offer and if they have declared same CUF % in the technical bid.)</w:t>
      </w:r>
    </w:p>
    <w:p w:rsidR="00061ABE" w:rsidRDefault="00061ABE"/>
    <w:p w:rsidR="001D665A" w:rsidRDefault="001D665A" w:rsidP="001D665A">
      <w:r>
        <w:t xml:space="preserve">ALSO PLEASE FIND </w:t>
      </w:r>
      <w:r w:rsidR="009C606E">
        <w:t>BELOW</w:t>
      </w:r>
      <w:r>
        <w:t xml:space="preserve"> THE AMENDED BOQ (both excel sheet &amp; </w:t>
      </w:r>
      <w:proofErr w:type="spellStart"/>
      <w:r>
        <w:t>pdf</w:t>
      </w:r>
      <w:proofErr w:type="spellEnd"/>
      <w:r>
        <w:t>) TO BE CONSIDERED UNDER HEADINGS ‘EXCEL UPLOAD REQUIRED’ AND ‘Quantifiable Specification/ Standards of the Service/ BOQ’</w:t>
      </w:r>
    </w:p>
    <w:p w:rsidR="001D665A" w:rsidRDefault="001D665A"/>
    <w:tbl>
      <w:tblPr>
        <w:tblW w:w="9938" w:type="dxa"/>
        <w:tblInd w:w="93" w:type="dxa"/>
        <w:tblLook w:val="04A0"/>
      </w:tblPr>
      <w:tblGrid>
        <w:gridCol w:w="999"/>
        <w:gridCol w:w="3440"/>
        <w:gridCol w:w="2061"/>
        <w:gridCol w:w="1060"/>
        <w:gridCol w:w="1140"/>
        <w:gridCol w:w="1238"/>
      </w:tblGrid>
      <w:tr w:rsidR="00A7744F" w:rsidRPr="009C606E" w:rsidTr="00A7744F">
        <w:trPr>
          <w:trHeight w:val="330"/>
        </w:trPr>
        <w:tc>
          <w:tcPr>
            <w:tcW w:w="8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1.5MW Floating Solar </w:t>
            </w:r>
            <w:proofErr w:type="spellStart"/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BoQ</w:t>
            </w:r>
            <w:proofErr w:type="spellEnd"/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A7744F" w:rsidRPr="009C606E" w:rsidTr="00A7744F">
        <w:trPr>
          <w:trHeight w:val="6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Item Number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Item Title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Item Description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Item Quantity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Unit of Measure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Rate </w:t>
            </w:r>
          </w:p>
        </w:tc>
      </w:tr>
      <w:tr w:rsidR="00A7744F" w:rsidRPr="009C606E" w:rsidTr="00A7744F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1.5MW Floating Solar System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Tariff for 25 years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Rs/</w:t>
            </w:r>
            <w:proofErr w:type="spellStart"/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Kwh</w:t>
            </w:r>
            <w:proofErr w:type="spellEnd"/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44F" w:rsidRPr="009C606E" w:rsidRDefault="00A7744F" w:rsidP="00610463">
            <w:pPr>
              <w:spacing w:line="240" w:lineRule="auto"/>
              <w:ind w:left="0"/>
              <w:jc w:val="left"/>
              <w:rPr>
                <w:rFonts w:ascii="Arial Unicode MS" w:eastAsia="Arial Unicode MS" w:hAnsi="Arial Unicode MS" w:cs="Arial Unicode MS"/>
                <w:color w:val="000000"/>
              </w:rPr>
            </w:pPr>
            <w:r w:rsidRPr="009C606E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</w:tr>
    </w:tbl>
    <w:p w:rsidR="009C606E" w:rsidRDefault="009C606E"/>
    <w:p w:rsidR="004A28FF" w:rsidRDefault="004A28FF">
      <w:r>
        <w:t>These corrections are made to align the bid document with the original tender terms and to ensure clarity and consistency.</w:t>
      </w:r>
      <w:r w:rsidR="00061ABE">
        <w:t xml:space="preserve"> </w:t>
      </w:r>
      <w:r>
        <w:t>All concerned parties are requested to take note of the above corrections and proceed accordingly.</w:t>
      </w:r>
    </w:p>
    <w:p w:rsidR="000C3A5A" w:rsidRDefault="000C3A5A">
      <w:r>
        <w:t>THIS CORRIGENDUM</w:t>
      </w:r>
      <w:r w:rsidR="004A28FF">
        <w:t xml:space="preserve"> WILL FORM PART OF THE TENDER</w:t>
      </w:r>
      <w:r w:rsidR="00061ABE">
        <w:t>.</w:t>
      </w:r>
    </w:p>
    <w:sectPr w:rsidR="000C3A5A" w:rsidSect="0053173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/>
  <w:rsids>
    <w:rsidRoot w:val="000C3A5A"/>
    <w:rsid w:val="00061ABE"/>
    <w:rsid w:val="000C3A5A"/>
    <w:rsid w:val="0011715C"/>
    <w:rsid w:val="001D665A"/>
    <w:rsid w:val="004A28FF"/>
    <w:rsid w:val="00531733"/>
    <w:rsid w:val="00596ED8"/>
    <w:rsid w:val="00713C87"/>
    <w:rsid w:val="0087346B"/>
    <w:rsid w:val="008D6A3D"/>
    <w:rsid w:val="009C606E"/>
    <w:rsid w:val="009D02F4"/>
    <w:rsid w:val="00A725C7"/>
    <w:rsid w:val="00A7744F"/>
    <w:rsid w:val="00DA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44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9801</dc:creator>
  <cp:lastModifiedBy>9801</cp:lastModifiedBy>
  <cp:revision>3</cp:revision>
  <dcterms:created xsi:type="dcterms:W3CDTF">2025-06-05T13:55:00Z</dcterms:created>
  <dcterms:modified xsi:type="dcterms:W3CDTF">2025-06-05T15:19:00Z</dcterms:modified>
</cp:coreProperties>
</file>